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1A3333" w:rsidRDefault="00A006BA"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Pr="001A3333">
        <w:rPr>
          <w:rFonts w:ascii="Arial" w:hAnsi="Arial" w:cs="Arial"/>
          <w:sz w:val="22"/>
          <w:szCs w:val="22"/>
        </w:rPr>
        <w:t xml:space="preserve">of an application by </w:t>
      </w:r>
      <w:r w:rsidR="001A3333" w:rsidRPr="001A3333">
        <w:rPr>
          <w:rFonts w:ascii="Arial" w:hAnsi="Arial" w:cs="Arial"/>
          <w:sz w:val="22"/>
          <w:szCs w:val="22"/>
        </w:rPr>
        <w:t>Farriers Bar and Eatery</w:t>
      </w:r>
      <w:r w:rsidR="00D14D82" w:rsidRPr="001A3333">
        <w:rPr>
          <w:rFonts w:ascii="Arial" w:hAnsi="Arial" w:cs="Arial"/>
          <w:i/>
          <w:sz w:val="22"/>
          <w:szCs w:val="22"/>
          <w:highlight w:val="lightGray"/>
        </w:rPr>
        <w:fldChar w:fldCharType="begin"/>
      </w:r>
      <w:r w:rsidRPr="001A3333">
        <w:rPr>
          <w:rFonts w:ascii="Arial" w:hAnsi="Arial" w:cs="Arial"/>
          <w:i/>
          <w:sz w:val="22"/>
          <w:szCs w:val="22"/>
          <w:highlight w:val="lightGray"/>
        </w:rPr>
        <w:instrText xml:space="preserve">  </w:instrText>
      </w:r>
      <w:r w:rsidR="00D14D82" w:rsidRPr="001A3333">
        <w:rPr>
          <w:rFonts w:ascii="Arial" w:hAnsi="Arial" w:cs="Arial"/>
          <w:i/>
          <w:sz w:val="22"/>
          <w:szCs w:val="22"/>
          <w:highlight w:val="lightGray"/>
        </w:rPr>
        <w:fldChar w:fldCharType="end"/>
      </w:r>
      <w:r w:rsidRPr="001A3333">
        <w:rPr>
          <w:rFonts w:ascii="Arial" w:hAnsi="Arial" w:cs="Arial"/>
          <w:sz w:val="22"/>
          <w:szCs w:val="22"/>
        </w:rPr>
        <w:t xml:space="preserve"> for a Special Licence pursuant to s.22 of the Act in respect of premises situated at </w:t>
      </w:r>
      <w:r w:rsidR="00DE0B45">
        <w:fldChar w:fldCharType="begin"/>
      </w:r>
      <w:r w:rsidR="00DE0B45">
        <w:instrText xml:space="preserve"> MERGEFIELD  laddress  \* MERGEFORMAT </w:instrText>
      </w:r>
      <w:r w:rsidR="00DE0B45">
        <w:fldChar w:fldCharType="separate"/>
      </w:r>
      <w:r w:rsidR="001A3333" w:rsidRPr="001A3333">
        <w:rPr>
          <w:rFonts w:ascii="Arial" w:hAnsi="Arial" w:cs="Arial"/>
          <w:b/>
          <w:noProof/>
          <w:sz w:val="22"/>
          <w:szCs w:val="22"/>
        </w:rPr>
        <w:t>460D Te Wharau Road RD3</w:t>
      </w:r>
      <w:r w:rsidR="00BA6110">
        <w:rPr>
          <w:rFonts w:ascii="Arial" w:hAnsi="Arial" w:cs="Arial"/>
          <w:b/>
          <w:noProof/>
          <w:sz w:val="22"/>
          <w:szCs w:val="22"/>
        </w:rPr>
        <w:t>,</w:t>
      </w:r>
      <w:r w:rsidR="001A3333" w:rsidRPr="001A3333">
        <w:rPr>
          <w:rFonts w:ascii="Arial" w:hAnsi="Arial" w:cs="Arial"/>
          <w:b/>
          <w:noProof/>
          <w:sz w:val="22"/>
          <w:szCs w:val="22"/>
        </w:rPr>
        <w:t xml:space="preserve"> Masterton</w:t>
      </w:r>
      <w:r w:rsidR="00DE0B45">
        <w:rPr>
          <w:rFonts w:ascii="Arial" w:hAnsi="Arial" w:cs="Arial"/>
          <w:b/>
          <w:noProof/>
          <w:sz w:val="22"/>
          <w:szCs w:val="22"/>
        </w:rPr>
        <w:fldChar w:fldCharType="end"/>
      </w:r>
      <w:r w:rsidRPr="001A3333">
        <w:rPr>
          <w:rFonts w:ascii="Arial" w:hAnsi="Arial" w:cs="Arial"/>
          <w:sz w:val="22"/>
          <w:szCs w:val="22"/>
        </w:rPr>
        <w:t xml:space="preserve"> and known as </w:t>
      </w:r>
      <w:r w:rsidR="001A3333" w:rsidRPr="001A3333">
        <w:rPr>
          <w:rFonts w:ascii="Arial" w:hAnsi="Arial" w:cs="Arial"/>
          <w:b/>
          <w:sz w:val="22"/>
          <w:szCs w:val="22"/>
        </w:rPr>
        <w:t>Beetham Woolshed</w:t>
      </w:r>
    </w:p>
    <w:p w:rsidR="00A006BA" w:rsidRPr="001A3333"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D14D82"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D14D82"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D14D82">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1A3333" w:rsidRDefault="00A006BA">
      <w:pPr>
        <w:pStyle w:val="BodyText"/>
        <w:rPr>
          <w:rFonts w:cs="Arial"/>
          <w:sz w:val="22"/>
          <w:szCs w:val="22"/>
        </w:rPr>
      </w:pPr>
      <w:r w:rsidRPr="001A3333">
        <w:rPr>
          <w:rFonts w:cs="Arial"/>
          <w:sz w:val="22"/>
          <w:szCs w:val="22"/>
        </w:rPr>
        <w:t>This is an application for a Special Licence under section 22 of the Sale and Supply of Alcohol Act 2012.  The application is for a</w:t>
      </w:r>
      <w:r w:rsidR="001A3333" w:rsidRPr="001A3333">
        <w:rPr>
          <w:rFonts w:cs="Arial"/>
          <w:sz w:val="22"/>
          <w:szCs w:val="22"/>
        </w:rPr>
        <w:t xml:space="preserve">n Opera in the Woolshed fundraising </w:t>
      </w:r>
      <w:r w:rsidRPr="001A3333">
        <w:rPr>
          <w:rFonts w:cs="Arial"/>
          <w:sz w:val="22"/>
          <w:szCs w:val="22"/>
        </w:rPr>
        <w:t xml:space="preserve">event to be held at </w:t>
      </w:r>
      <w:r w:rsidR="001A3333" w:rsidRPr="001A3333">
        <w:rPr>
          <w:sz w:val="22"/>
          <w:szCs w:val="22"/>
        </w:rPr>
        <w:t>460D Te Wharau Road, Masterton</w:t>
      </w:r>
      <w:r w:rsidRPr="001A3333">
        <w:rPr>
          <w:rFonts w:cs="Arial"/>
          <w:sz w:val="22"/>
          <w:szCs w:val="22"/>
        </w:rPr>
        <w:t xml:space="preserve"> and known as </w:t>
      </w:r>
      <w:r w:rsidR="00DE0B45">
        <w:fldChar w:fldCharType="begin"/>
      </w:r>
      <w:r w:rsidR="00DE0B45">
        <w:instrText xml:space="preserve"> MERGEFIELD  busname  \* MERGEFORMAT </w:instrText>
      </w:r>
      <w:r w:rsidR="00DE0B45">
        <w:fldChar w:fldCharType="separate"/>
      </w:r>
      <w:r w:rsidR="001A3333" w:rsidRPr="001A3333">
        <w:rPr>
          <w:noProof/>
          <w:sz w:val="22"/>
          <w:szCs w:val="22"/>
        </w:rPr>
        <w:t>Beetham Woolshed</w:t>
      </w:r>
      <w:r w:rsidR="00DE0B45">
        <w:rPr>
          <w:noProof/>
          <w:sz w:val="22"/>
          <w:szCs w:val="22"/>
        </w:rPr>
        <w:fldChar w:fldCharType="end"/>
      </w:r>
      <w:r w:rsidRPr="001A3333">
        <w:rPr>
          <w:rFonts w:cs="Arial"/>
          <w:sz w:val="22"/>
          <w:szCs w:val="22"/>
        </w:rPr>
        <w:t>, where alcohol will be consumed on the premises.</w:t>
      </w:r>
      <w:r w:rsidR="00D14D82" w:rsidRPr="001A3333">
        <w:rPr>
          <w:sz w:val="22"/>
          <w:szCs w:val="22"/>
        </w:rPr>
        <w:fldChar w:fldCharType="begin"/>
      </w:r>
      <w:r w:rsidR="00D14D82" w:rsidRPr="001A3333">
        <w:rPr>
          <w:sz w:val="22"/>
          <w:szCs w:val="22"/>
        </w:rPr>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1A3333">
        <w:rPr>
          <w:rFonts w:ascii="Arial" w:hAnsi="Arial" w:cs="Arial"/>
          <w:b/>
        </w:rPr>
        <w:t>Saturday 24th October and Sunday 25th October 7.15pm-9.15pm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1A3333">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BA6110">
        <w:rPr>
          <w:rFonts w:ascii="Arial" w:hAnsi="Arial" w:cs="Arial"/>
        </w:rPr>
        <w:t>:</w:t>
      </w:r>
      <w:r w:rsidR="001A3333">
        <w:rPr>
          <w:rFonts w:ascii="Arial" w:hAnsi="Arial" w:cs="Arial"/>
          <w:b/>
        </w:rPr>
        <w:t xml:space="preserve"> persons under the age of 18 years and those intoxicated will not be served</w:t>
      </w:r>
      <w:r w:rsidR="00BA6110">
        <w:rPr>
          <w:rFonts w:ascii="Arial" w:hAnsi="Arial" w:cs="Arial"/>
          <w:b/>
        </w:rPr>
        <w:t xml:space="preserve"> alcohol</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1A3333">
        <w:rPr>
          <w:rFonts w:ascii="Arial" w:hAnsi="Arial" w:cs="Arial"/>
          <w:b/>
        </w:rPr>
        <w:t>supervised at all times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1A3333">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1A3333">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1A3333">
        <w:rPr>
          <w:rFonts w:ascii="Arial" w:hAnsi="Arial" w:cs="Arial"/>
          <w:b/>
        </w:rPr>
        <w:t>as per application</w:t>
      </w:r>
    </w:p>
    <w:p w:rsidR="00BA6110" w:rsidRDefault="00BA6110"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1A3333">
        <w:rPr>
          <w:rFonts w:ascii="Arial" w:hAnsi="Arial" w:cs="Arial"/>
          <w:b/>
        </w:rPr>
        <w:t>coach transport will be provided for all guests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1A3333">
        <w:rPr>
          <w:rFonts w:ascii="Arial" w:hAnsi="Arial" w:cs="Arial"/>
          <w:b/>
        </w:rPr>
        <w:t>glass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DE0B45">
        <w:fldChar w:fldCharType="begin"/>
      </w:r>
      <w:r w:rsidR="00DE0B45">
        <w:instrText xml:space="preserve"> MERGEFIELD  fullissuedate  \* MERGEFORMAT </w:instrText>
      </w:r>
      <w:r w:rsidR="00DE0B45">
        <w:fldChar w:fldCharType="separate"/>
      </w:r>
      <w:r w:rsidR="001A3333" w:rsidRPr="00BA6110">
        <w:rPr>
          <w:rFonts w:ascii="Arial" w:hAnsi="Arial"/>
          <w:b/>
          <w:noProof/>
          <w:sz w:val="22"/>
          <w:szCs w:val="22"/>
        </w:rPr>
        <w:t>6th day of October 2015</w:t>
      </w:r>
      <w:r w:rsidR="00DE0B45">
        <w:rPr>
          <w:rFonts w:ascii="Arial" w:hAnsi="Arial"/>
          <w:b/>
          <w:noProof/>
          <w:sz w:val="22"/>
          <w:szCs w:val="22"/>
        </w:rPr>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45" w:rsidRDefault="00DE0B45">
      <w:r>
        <w:separator/>
      </w:r>
    </w:p>
  </w:endnote>
  <w:endnote w:type="continuationSeparator" w:id="0">
    <w:p w:rsidR="00DE0B45" w:rsidRDefault="00DE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45" w:rsidRDefault="00DE0B45">
      <w:r>
        <w:separator/>
      </w:r>
    </w:p>
  </w:footnote>
  <w:footnote w:type="continuationSeparator" w:id="0">
    <w:p w:rsidR="00DE0B45" w:rsidRDefault="00DE0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D14D82">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8B52A0">
      <w:rPr>
        <w:rFonts w:ascii="Arial" w:hAnsi="Arial"/>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1A3333">
      <w:rPr>
        <w:rFonts w:ascii="Arial" w:hAnsi="Arial"/>
        <w:sz w:val="16"/>
        <w:szCs w:val="16"/>
      </w:rPr>
      <w:t>0432</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808AD"/>
    <w:rsid w:val="000C1CC1"/>
    <w:rsid w:val="000C2E78"/>
    <w:rsid w:val="00101AFA"/>
    <w:rsid w:val="00114929"/>
    <w:rsid w:val="001524F4"/>
    <w:rsid w:val="00152A6E"/>
    <w:rsid w:val="0016012F"/>
    <w:rsid w:val="00191EC4"/>
    <w:rsid w:val="001A3333"/>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8B52A0"/>
    <w:rsid w:val="00920F1D"/>
    <w:rsid w:val="00961CDA"/>
    <w:rsid w:val="0097391E"/>
    <w:rsid w:val="00984050"/>
    <w:rsid w:val="009B7ADD"/>
    <w:rsid w:val="009C4D0F"/>
    <w:rsid w:val="00A006BA"/>
    <w:rsid w:val="00A30B1C"/>
    <w:rsid w:val="00A617E4"/>
    <w:rsid w:val="00A86D2E"/>
    <w:rsid w:val="00A879D5"/>
    <w:rsid w:val="00A9608B"/>
    <w:rsid w:val="00AA30C9"/>
    <w:rsid w:val="00AA3718"/>
    <w:rsid w:val="00AC7787"/>
    <w:rsid w:val="00AE0BCD"/>
    <w:rsid w:val="00B377FC"/>
    <w:rsid w:val="00BA6110"/>
    <w:rsid w:val="00BB6A98"/>
    <w:rsid w:val="00C230B8"/>
    <w:rsid w:val="00C2405A"/>
    <w:rsid w:val="00C404C3"/>
    <w:rsid w:val="00C53E51"/>
    <w:rsid w:val="00C909C3"/>
    <w:rsid w:val="00CA17A8"/>
    <w:rsid w:val="00CF27FC"/>
    <w:rsid w:val="00D0234F"/>
    <w:rsid w:val="00D0538F"/>
    <w:rsid w:val="00D14D82"/>
    <w:rsid w:val="00D23C3B"/>
    <w:rsid w:val="00DE0B45"/>
    <w:rsid w:val="00E24ED3"/>
    <w:rsid w:val="00E62A68"/>
    <w:rsid w:val="00F25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Patrick Barber</cp:lastModifiedBy>
  <cp:revision>2</cp:revision>
  <cp:lastPrinted>2015-10-06T19:14:00Z</cp:lastPrinted>
  <dcterms:created xsi:type="dcterms:W3CDTF">2015-10-06T19:15:00Z</dcterms:created>
  <dcterms:modified xsi:type="dcterms:W3CDTF">2015-10-06T19:15:00Z</dcterms:modified>
</cp:coreProperties>
</file>